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color w:val="8C532B"/>
          <w:sz w:val="20"/>
        </w:rPr>
        <w:t>B E S T E A</w:t>
      </w:r>
    </w:p>
    <w:p>
      <w:pPr>
        <w:spacing w:after="120"/>
        <w:jc w:val="center"/>
      </w:pPr>
      <w:r>
        <w:rPr>
          <w:rFonts w:ascii="Arial" w:hAnsi="Arial"/>
          <w:b/>
          <w:color w:val="2C1810"/>
          <w:sz w:val="32"/>
        </w:rPr>
        <w:t>Программа лояльности «BesTea Кэшбэк»</w:t>
        <w:br/>
        <w:t>и Политика конфиденциальности</w:t>
      </w:r>
    </w:p>
    <w:p>
      <w:pPr>
        <w:spacing w:after="320"/>
        <w:jc w:val="center"/>
      </w:pPr>
      <w:r>
        <w:rPr>
          <w:rFonts w:ascii="Arial" w:hAnsi="Arial"/>
          <w:color w:val="666666"/>
          <w:sz w:val="19"/>
        </w:rPr>
        <w:t>г. Москва  |  Редакция от 08 сентября 2026 г.</w:t>
      </w:r>
    </w:p>
    <w:p>
      <w:pPr>
        <w:spacing w:after="280" w:line="276" w:lineRule="auto"/>
        <w:jc w:val="both"/>
      </w:pPr>
      <w:r>
        <w:rPr>
          <w:rFonts w:ascii="Arial" w:hAnsi="Arial"/>
          <w:i/>
          <w:color w:val="3C3C3C"/>
          <w:sz w:val="19"/>
        </w:rPr>
        <w:t>Настоящий документ определяет условия участия в Программе лояльности (Раздел I — Публичная оферта в соответствии со ст. 437 Гражданского кодекса РФ), а также порядок и условия обработки персональных данных Участников (Раздел II — Политика оператора в отношении обработки персональных данных в соответствии с Федеральным законом № 152-ФЗ).</w:t>
      </w:r>
    </w:p>
    <w:p>
      <w:pPr>
        <w:keepNext/>
        <w:spacing w:before="320" w:after="120"/>
      </w:pPr>
      <w:r>
        <w:rPr>
          <w:rFonts w:ascii="Arial" w:hAnsi="Arial"/>
          <w:b/>
          <w:color w:val="2C1810"/>
          <w:sz w:val="24"/>
        </w:rPr>
        <w:t>РАЗДЕЛ I. ПРАВИЛА ПРОГРАММЫ ЛОЯЛЬНОСТИ (ПУБЛИЧНАЯ ОФЕРТА)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1. Общие положения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1.1. Настоящие Правила определяют условия участия в программе лояльности «BesTea Кэшбэк» (далее — «Программа») в корнере напитков «BesTea» по адресу: г. Москва, просп. Андропова, д. 22 (ТРЦ «Нора», 3 этаж, зона фудкорта).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1.2. Организатором Программы является Индивидуальный предприниматель Вольнова Александра Михайловна (ОГРНИП 326774600512578, ИНН 772830175928).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1.3. Участником Программы (далее — «Гость») может стать любое физическое лицо, достигшее возраста 14 (четырнадцати) лет, прошедшее процедуру регистрации в системе лояльности путем сканирования QR-кода и заполнения формы QuickResto, выпуска электронной карты (Apple Wallet / Google Wallet) либо через официального чат-бота Организатора.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1.4. Участие в Программе является добровольным и бесплатным.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1.5. Регистрация в Программе (в том числе выпуск виртуальной карты или заполнение анкеты) является полным и безоговорочным акцептом настоящей оферты (ст. 438 Гражданского кодекса РФ).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2. Бонусный эквивалент и правила учета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2.1. 1 (один) бонусный балл равен 1 (одному) рублю РФ скидки на будущие покупки (1 бонус = 1 ₽).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2.2. Бонусы не являются денежными средствами, ценными бумагами или электронными платежными средствами, не имеют наличного эквивалента, не подлежат выплате в денежной форме, не могут быть подарены, проданы или переуступлены третьим лицам.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2.3. Срок действия базовых бонусов составляет 90 (девяносто) календарных дней с момента их начисления. Неиспользованные за этот период бонусы автоматически аннулируются («сгорают») и восстановлению не подлежат.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3. Приветственные бонусы (Welcome-бонус)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3.1. При первичной регистрации Гостю единоразово начисляется 100 (сто) приветственных бонусов.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3.2. Приветственные бонусы становятся доступными к списанию начиная со второй покупки Гостя.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3.3. Приветственными бонусами можно оплатить до 50% стоимости позиций основного меню с учётом ограничений п. 7 настоящих Правил.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3.4. Срок действия приветственных бонусов составляет 90 календарных дней с даты начисления.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4. Бонус ко Дню рождения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4.1. Гостям, указавшим корректную дату рождения в профиле не менее чем за 3 (три) календарных дня до соответствующей даты, начисляется праздничный бонус в размере 150 бонусов.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4.2. Праздничные бонусы начисляются в день рождения Гостя и действуют в течение 7 (семи) календарных дней с момента начисления, после чего автоматически аннулируются.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5. Порядок начисления кэшбэка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5.1. Базовая ставка начисления бонусов составляет 5% (пять процентов) от суммы чека за позиции, участвующие в Программе, фактически оплаченной денежными средствами (рублями).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5.2. Бонусы начисляются исключительно на напитки собственного приготовления из основного меню корнера: авторский Bubble Tea, чайные напитки, айс-напитки, кофе и кофейную классику, лимонады и авторские спешлы.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5.3. Бонусы начисляются автоматически при закрытии чека при условии идентификации Гостя (предъявление электронной карты или сообщение номера телефона сотруднику корнера) до момента совершения оплаты.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5.4. Организатор не несёт ответственности за задержку или невозможность начисления/списания бонусов при возникновении обстоятельств технического характера: сбоях в электросетях, обрывах связи интернет-провайдеров или технических регламентных работах на серверах разработчиков кассового ПО QuickResto непосредственно на торговой точке в момент расчета.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6. Порядок списания бонусов и возвраты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6.1. Накопленными бонусами Гость вправе оплатить до 50% (пятидесяти процентов) стоимости позиций напитков собственного приготовления в чеке.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6.2. Оставшаяся часть чека (не менее 50% стоимости напитков, а также позиции, не участвующие в Программе) оплачивается денежными средствами (банковской картой, через СБП или наличными).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6.3. При частичной оплате заказа бонусами новый кэшбэк (5%) начисляется только на ту часть стоимости напитков, которая была фактически оплачена денежными средствами.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6.4. В случае возврата товара надлежащего или ненадлежащего качества, частично оплаченного бонусами, денежные средства возвращаются Гостю строго в размере суммы, фактически внесенной рублями. Списанные на эту покупку бонусы восстанавливаются на бонусном счете, а бонусы, ранее начисленные за эту операцию, аннулируются.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7. Исключения и ограничения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7.1. Бонусы не начисляются и не принимаются к списанию: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на десерты, выпечку, моти, снеки и любые готовые блюда;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на штучную продукцию промышленной упаковки и товары сторонних брендов (бутилированная вода, упакованный чай/кофе, мерч, посуда, упаковка);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на заказы, оформленные через сторонние сервисы и агрегаторы доставки.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7.2. Списание бонусов не суммируется с другими акциями, купонами, промокодами и скидками корнера, если иное прямо не предусмотрено условиями отдельной маркетинговой акции.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8. Защита от злоупотреблений (Антифрод)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8.1. На одного Гостя и на один номер телефона допускается оформление только одной бонусной карты. Запрещается использование виртуальных, временных телефонных номеров, а также автоматизированных средств для искусственного накопления бонусов.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8.2. Организатор оставляет за собой право в одностороннем порядке заблокировать карту, списать недобросовестно полученные бонусы и отказать в участии в Программе при выявлении признаков злоупотребления правом или мошеннических действий.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9. Срок действия и изменение условий Программы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9.1. Программа действует бессрочно с момента её утверждения и публикации.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9.2. Организатор вправе в одностороннем порядке изменять условия Программы (включая процент начисления, правила списания и срок действия бонусов) либо прекратить её действие.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9.3. Уведомление об изменениях условий размещается не менее чем за 7 (семь) календарных дней, а о прекращении действия Программы — не менее чем за 30 (тридцать) календарных дней до вступления изменений в силу: в зоне обслуживания Гостей корнера «BesTea», в Push-уведомлениях карт и в официальном Telegram-канале/боте.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9.4. В случае прекращения Программы все бонусы, не использованные Гостями в течение 30-дневного срока предварительного уведомления, аннулируются без выплаты каких-либо денежных компенсаций.</w:t>
      </w:r>
    </w:p>
    <w:p>
      <w:pPr>
        <w:keepNext/>
        <w:spacing w:before="320" w:after="120"/>
      </w:pPr>
      <w:r>
        <w:rPr>
          <w:rFonts w:ascii="Arial" w:hAnsi="Arial"/>
          <w:b/>
          <w:color w:val="2C1810"/>
          <w:sz w:val="24"/>
        </w:rPr>
        <w:t>РАЗДЕЛ II. ПОЛИТИКА В ОТНОШЕНИИ ОБРАБОТКИ ПЕРСОНАЛЬНЫХ ДАННЫХ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1. Общие положения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1.1. Настоящая Политика определяет порядок обработки и защиты персональных данных Участников Программы лояльности «BesTea» в соответствии с Федеральным законом от 27.07.2006 № 152-ФЗ «О персональных данных».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1.2. Оператором персональных данных является Индивидуальный предприниматель Вольнова Александра Михайловна (ОГРНИП 326774600512578, ИНН 772830175928).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2. Категории обрабатываемых данных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Оператор обрабатывает следующие данные, предоставляемые Гостем при регистрации и участии в Программе: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имя, фамилия (по желанию);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номер мобильного телефона;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дата рождения (число, месяц, год);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адрес электронной почты (по желанию);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идентификаторы карты и учетных записей: QuickResto ID, Wallet ID, Telegram User ID;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история покупок, состав чеков и баланс бонусного счёта.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3. Правовые основания и цели обработки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3.1. Обработка персональных данных осуществляется на основании: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заключения и исполнения договора (публичной оферты) об участии в Программе лояльности (п. 5 ч. 1 ст. 6 Федерального закона № 152-ФЗ);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согласия Гостя на получение сообщений рекламного характера (ст. 18 Федерального закона № 38-ФЗ «О рекламе»).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3.2. Обработка данных осуществляется исключительно в целях: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создания учетной записи Гостя в системе QuickResto и идентификации на кассе;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начисления, учёта и списания бонусов, а также предоставления привилегий ко Дню рождения;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отправки обязательных сервисных и транзакционных сообщений (уведомления о балансе, сгорании баллов, изменении Правил);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внутренней аналитики потребительских предпочтений и повышения качества напитков и сервиса.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4. Рекламные рассылки (38-ФЗ)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4.1. Направление сообщений рекламного характера (новости меню, сезонные новинки, спецпредложения) по SMS, через мессенджеры или Push-уведомления осуществляется строго при наличии согласия Гостя, предоставленного в интерфейсе формы регистрации QuickResto либо подтвержденного иным способом в соответствии с Федеральным законом № 38-ФЗ «О рекламе».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4.2. Гость вправе в любой момент отказаться от получения рекламы без прекращения участия в Программе лояльности: перейдя по ссылке отписки в сообщении, отключив уведомления в боте/карте или направив письмо на e-mail: besteabonus@yandex.com.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5. Порядок обработки, хранение и поручение третьим лицам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5.1. Обработка персональных данных осуществляется смешанным (автоматизированным и неавтоматизированным) способом.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5.2. Сбор, систематизация и хранение персональных данных граждан РФ осуществляются исключительно на серверах и в базах данных, расположенных на территории Российской Федерации (ч. 5 ст. 18 152-ФЗ).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5.3. Для обеспечения работы Программы лояльности Оператор поручает обработку данных следующим техническим партнерам на основании договоров: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разработчикам кассовых, CRM-платформ и сервисов регистрации (включая ООО «КвикРесто», ОГРН 1127746592276);</w:t>
      </w:r>
    </w:p>
    <w:p>
      <w:pPr>
        <w:pStyle w:val="ListBullet"/>
        <w:spacing w:after="40" w:line="276" w:lineRule="auto"/>
      </w:pPr>
      <w:r>
        <w:rPr>
          <w:rFonts w:ascii="Arial" w:hAnsi="Arial"/>
          <w:color w:val="222222"/>
          <w:sz w:val="19"/>
        </w:rPr>
        <w:t>привлекаемым сервисам отправки сервисных уведомлений и генерации электронных карт Wallet.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Указанные партнеры обязуются соблюдать конфиденциальность данных и правила их защиты согласно ст. 19 Федерального закона № 152-ФЗ.</w:t>
      </w:r>
    </w:p>
    <w:p>
      <w:pPr>
        <w:keepNext/>
        <w:spacing w:before="240" w:after="80"/>
      </w:pPr>
      <w:r>
        <w:rPr>
          <w:rFonts w:ascii="Arial" w:hAnsi="Arial"/>
          <w:b/>
          <w:color w:val="8C532B"/>
          <w:sz w:val="21"/>
        </w:rPr>
        <w:t>6. Срок обработки данных и порядок отзыва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6.1. Персональные данные обрабатываются в течение всего срока участия Гостя в Программе лояльности.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6.2. Согласие на обработку данных может быть отозвано Гостем в любой момент путем направления заявления на e-mail: besteabonus@yandex.com либо почтовым отправлением по адресу точки продаж Оператора.</w:t>
      </w:r>
    </w:p>
    <w:p>
      <w:pPr>
        <w:spacing w:after="80" w:line="276" w:lineRule="auto"/>
        <w:jc w:val="both"/>
      </w:pPr>
      <w:r>
        <w:rPr>
          <w:rFonts w:ascii="Arial" w:hAnsi="Arial"/>
          <w:color w:val="222222"/>
          <w:sz w:val="19"/>
        </w:rPr>
        <w:t>6.3. В случае отзыва согласия Оператор прекращает участие Гостя в Программе, блокирует карту и производит удаление или обезличивание персональных данных в срок, не превышающий 30 (тридцати) календарных дней с момента получения заявления, за исключением случаев, когда обязательное хранение сведений предусмотрено налоговым и фискальным законодательством РФ.</w:t>
      </w:r>
    </w:p>
    <w:p>
      <w:pPr>
        <w:keepNext/>
        <w:spacing w:before="320" w:after="120"/>
      </w:pPr>
      <w:r>
        <w:rPr>
          <w:rFonts w:ascii="Arial" w:hAnsi="Arial"/>
          <w:b/>
          <w:color w:val="2C1810"/>
          <w:sz w:val="24"/>
        </w:rPr>
        <w:t>РАЗДЕЛ III. СВЕДЕНИЯ ОБ ОРГАНИЗАТОРЕ И КОНТАКТЫ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pPr>
              <w:spacing w:after="60" w:before="60"/>
            </w:pPr>
            <w:r>
              <w:rPr>
                <w:rFonts w:ascii="Arial" w:hAnsi="Arial"/>
                <w:b/>
                <w:color w:val="2C1810"/>
                <w:sz w:val="18"/>
              </w:rPr>
              <w:t>Организатор / Оператор</w:t>
            </w:r>
          </w:p>
        </w:tc>
        <w:tc>
          <w:tcPr>
            <w:tcW w:type="dxa" w:w="6520"/>
          </w:tcPr>
          <w:p>
            <w:pPr>
              <w:spacing w:after="60" w:before="60"/>
            </w:pPr>
            <w:r>
              <w:rPr>
                <w:rFonts w:ascii="Arial" w:hAnsi="Arial"/>
                <w:color w:val="222222"/>
                <w:sz w:val="18"/>
              </w:rPr>
              <w:t>Индивидуальный предприниматель Вольнова Александра Михайловна</w:t>
            </w:r>
          </w:p>
        </w:tc>
      </w:tr>
      <w:tr>
        <w:tc>
          <w:tcPr>
            <w:tcW w:type="dxa" w:w="3118"/>
          </w:tcPr>
          <w:p>
            <w:pPr>
              <w:spacing w:after="60" w:before="60"/>
            </w:pPr>
            <w:r>
              <w:rPr>
                <w:rFonts w:ascii="Arial" w:hAnsi="Arial"/>
                <w:b/>
                <w:color w:val="2C1810"/>
                <w:sz w:val="18"/>
              </w:rPr>
              <w:t>ОГРНИП</w:t>
            </w:r>
          </w:p>
        </w:tc>
        <w:tc>
          <w:tcPr>
            <w:tcW w:type="dxa" w:w="6520"/>
          </w:tcPr>
          <w:p>
            <w:pPr>
              <w:spacing w:after="60" w:before="60"/>
            </w:pPr>
            <w:r>
              <w:rPr>
                <w:rFonts w:ascii="Arial" w:hAnsi="Arial"/>
                <w:color w:val="222222"/>
                <w:sz w:val="18"/>
              </w:rPr>
              <w:t>326774600512578</w:t>
            </w:r>
          </w:p>
        </w:tc>
      </w:tr>
      <w:tr>
        <w:tc>
          <w:tcPr>
            <w:tcW w:type="dxa" w:w="3118"/>
          </w:tcPr>
          <w:p>
            <w:pPr>
              <w:spacing w:after="60" w:before="60"/>
            </w:pPr>
            <w:r>
              <w:rPr>
                <w:rFonts w:ascii="Arial" w:hAnsi="Arial"/>
                <w:b/>
                <w:color w:val="2C1810"/>
                <w:sz w:val="18"/>
              </w:rPr>
              <w:t>ИНН</w:t>
            </w:r>
          </w:p>
        </w:tc>
        <w:tc>
          <w:tcPr>
            <w:tcW w:type="dxa" w:w="6520"/>
          </w:tcPr>
          <w:p>
            <w:pPr>
              <w:spacing w:after="60" w:before="60"/>
            </w:pPr>
            <w:r>
              <w:rPr>
                <w:rFonts w:ascii="Arial" w:hAnsi="Arial"/>
                <w:color w:val="222222"/>
                <w:sz w:val="18"/>
              </w:rPr>
              <w:t>772830175928</w:t>
            </w:r>
          </w:p>
        </w:tc>
      </w:tr>
      <w:tr>
        <w:tc>
          <w:tcPr>
            <w:tcW w:type="dxa" w:w="3118"/>
          </w:tcPr>
          <w:p>
            <w:pPr>
              <w:spacing w:after="60" w:before="60"/>
            </w:pPr>
            <w:r>
              <w:rPr>
                <w:rFonts w:ascii="Arial" w:hAnsi="Arial"/>
                <w:b/>
                <w:color w:val="2C1810"/>
                <w:sz w:val="18"/>
              </w:rPr>
              <w:t>Адрес точки продаж и направления корреспонденции</w:t>
            </w:r>
          </w:p>
        </w:tc>
        <w:tc>
          <w:tcPr>
            <w:tcW w:type="dxa" w:w="6520"/>
          </w:tcPr>
          <w:p>
            <w:pPr>
              <w:spacing w:after="60" w:before="60"/>
            </w:pPr>
            <w:r>
              <w:rPr>
                <w:rFonts w:ascii="Arial" w:hAnsi="Arial"/>
                <w:color w:val="222222"/>
                <w:sz w:val="18"/>
              </w:rPr>
              <w:t>115487, г. Москва, просп. Андропова, д. 22 (ТРЦ «Нора», 3 этаж, зона фудкорта, корнер напитков «BesTea»)</w:t>
            </w:r>
          </w:p>
        </w:tc>
      </w:tr>
      <w:tr>
        <w:tc>
          <w:tcPr>
            <w:tcW w:type="dxa" w:w="3118"/>
          </w:tcPr>
          <w:p>
            <w:pPr>
              <w:spacing w:after="60" w:before="60"/>
            </w:pPr>
            <w:r>
              <w:rPr>
                <w:rFonts w:ascii="Arial" w:hAnsi="Arial"/>
                <w:b/>
                <w:color w:val="2C1810"/>
                <w:sz w:val="18"/>
              </w:rPr>
              <w:t>Контактный e-mail</w:t>
            </w:r>
          </w:p>
        </w:tc>
        <w:tc>
          <w:tcPr>
            <w:tcW w:type="dxa" w:w="6520"/>
          </w:tcPr>
          <w:p>
            <w:pPr>
              <w:spacing w:after="60" w:before="60"/>
            </w:pPr>
            <w:r>
              <w:rPr>
                <w:rFonts w:ascii="Arial" w:hAnsi="Arial"/>
                <w:color w:val="222222"/>
                <w:sz w:val="18"/>
              </w:rPr>
              <w:t>besteabonus@yandex.com</w:t>
            </w:r>
          </w:p>
        </w:tc>
      </w:tr>
      <w:tr>
        <w:tc>
          <w:tcPr>
            <w:tcW w:type="dxa" w:w="3118"/>
          </w:tcPr>
          <w:p>
            <w:pPr>
              <w:spacing w:after="60" w:before="60"/>
            </w:pPr>
            <w:r>
              <w:rPr>
                <w:rFonts w:ascii="Arial" w:hAnsi="Arial"/>
                <w:b/>
                <w:color w:val="2C1810"/>
                <w:sz w:val="18"/>
              </w:rPr>
              <w:t>Режим работы корнера</w:t>
            </w:r>
          </w:p>
        </w:tc>
        <w:tc>
          <w:tcPr>
            <w:tcW w:type="dxa" w:w="6520"/>
          </w:tcPr>
          <w:p>
            <w:pPr>
              <w:spacing w:after="60" w:before="60"/>
            </w:pPr>
            <w:r>
              <w:rPr>
                <w:rFonts w:ascii="Arial" w:hAnsi="Arial"/>
                <w:color w:val="222222"/>
                <w:sz w:val="18"/>
              </w:rPr>
              <w:t>ежедневно с 10:00 до 22:00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8C8C8C"/>
        <w:sz w:val="17"/>
      </w:rPr>
      <w:t>г. Москва, ТРЦ «Нора» • Редакция от 08.09.2026 г.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8C8C8C"/>
        <w:sz w:val="17"/>
      </w:rPr>
      <w:t>BesTea • Программа лояльности «BesTea Кэшбэк» и Политика конфиденциальности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